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NETWORK CABLING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 1 - Single Mode (SM) Fiber Cabling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42424"/>
        </w:rPr>
        <w:t>This section has two options to bid.</w:t>
      </w:r>
    </w:p>
    <w:tbl>
      <w:tblPr>
        <w:tblStyle w:val="a"/>
        <w:tblW w:w="136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40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1 - 12-strand (minimum) SM Fiber Section: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E7557">
        <w:trPr>
          <w:trHeight w:val="64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SECTION 1, CABLING OPTION 1 TOTAL: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</w:pPr>
      <w:r>
        <w:t>Page ___ of ___ (Attach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NETWORK CABLING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 1 - Single Mode (SM) Fiber Cabling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42424"/>
        </w:rPr>
        <w:t>This section has two options to bid.</w:t>
      </w:r>
    </w:p>
    <w:tbl>
      <w:tblPr>
        <w:tblStyle w:val="a0"/>
        <w:tblW w:w="136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409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spacing w:before="59" w:line="240" w:lineRule="auto"/>
              <w:ind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 2 - 36-strand (minimum) SM Fiber Section: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BE7557">
        <w:trPr>
          <w:trHeight w:val="64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SECTION 1, CABLING OPTION 2 TOTAL: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</w:pPr>
      <w:r>
        <w:t>Page ___ of ___ (Attach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UNINTERRUPTIBLE POWER SUPPLIES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bookmarkStart w:id="0" w:name="_ns84m2krvgft" w:colFirst="0" w:colLast="0"/>
      <w:bookmarkEnd w:id="0"/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 2 - Uninterruptible Power Supplies (UPS)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42424"/>
        </w:rPr>
        <w:t>This section only has one opt</w:t>
      </w:r>
      <w:r>
        <w:rPr>
          <w:rFonts w:ascii="Times New Roman" w:eastAsia="Times New Roman" w:hAnsi="Times New Roman" w:cs="Times New Roman"/>
          <w:b/>
          <w:color w:val="242424"/>
        </w:rPr>
        <w:t>ion to bid.</w:t>
      </w:r>
    </w:p>
    <w:tbl>
      <w:tblPr>
        <w:tblStyle w:val="a1"/>
        <w:tblW w:w="13610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right"/>
        <w:rPr>
          <w:b/>
          <w:sz w:val="24"/>
          <w:szCs w:val="24"/>
        </w:rPr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SECTION 2, UPS TOTAL: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>Page ___ of ___ (Attach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NETWORK EQUIPMENT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</w:t>
      </w:r>
      <w:r>
        <w:rPr>
          <w:rFonts w:ascii="Times New Roman" w:eastAsia="Times New Roman" w:hAnsi="Times New Roman" w:cs="Times New Roman"/>
          <w:b/>
        </w:rPr>
        <w:t xml:space="preserve"> 3 - LAN Switches &amp; WAN Routers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This section has four options to bid.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7557" w:rsidRDefault="0031458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3 - LAN Switches &amp; WAN Routers - Option 1</w:t>
      </w:r>
    </w:p>
    <w:tbl>
      <w:tblPr>
        <w:tblStyle w:val="a2"/>
        <w:tblW w:w="13610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  <w:rPr>
          <w:b/>
          <w:sz w:val="24"/>
          <w:szCs w:val="24"/>
        </w:rPr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SECTION 3, LAN SWITCHES &amp; WAN ROUTERS OPTION 1 TOTAL: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>Page ___ of ___ (Attach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NETWORK EQUIPMENT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</w:t>
      </w:r>
      <w:r>
        <w:rPr>
          <w:rFonts w:ascii="Times New Roman" w:eastAsia="Times New Roman" w:hAnsi="Times New Roman" w:cs="Times New Roman"/>
          <w:b/>
        </w:rPr>
        <w:t xml:space="preserve"> 3 - LAN Switches &amp; WAN Routers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This section has four options to bid.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7557" w:rsidRDefault="0031458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3 - LAN Switches &amp; WAN Routers - Option 2</w:t>
      </w:r>
    </w:p>
    <w:tbl>
      <w:tblPr>
        <w:tblStyle w:val="a3"/>
        <w:tblW w:w="13610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3, LAN SWITCHES &amp; WAN ROUTERS OPTION 2 </w:t>
      </w: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>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>Page ___ of ___ (Attach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NETWORK EQUIPMENT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</w:t>
      </w:r>
      <w:r>
        <w:rPr>
          <w:rFonts w:ascii="Times New Roman" w:eastAsia="Times New Roman" w:hAnsi="Times New Roman" w:cs="Times New Roman"/>
          <w:b/>
        </w:rPr>
        <w:t xml:space="preserve"> 3 - LAN Switches &amp; WAN Routers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This section has four options to bid.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7557" w:rsidRDefault="0031458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3 - LAN Switches &amp; WAN Routers - Option 3</w:t>
      </w:r>
    </w:p>
    <w:tbl>
      <w:tblPr>
        <w:tblStyle w:val="a4"/>
        <w:tblW w:w="13610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3, LAN SWITCHES &amp; WAN ROUTERS OPTION 3 </w:t>
      </w: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>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>Page ___ of ___ (Attach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NETWORK EQUIPMENT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</w:t>
      </w:r>
      <w:r>
        <w:rPr>
          <w:rFonts w:ascii="Times New Roman" w:eastAsia="Times New Roman" w:hAnsi="Times New Roman" w:cs="Times New Roman"/>
          <w:b/>
        </w:rPr>
        <w:t xml:space="preserve"> 3 - LAN Switches &amp; WAN Routers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bookmarkStart w:id="1" w:name="_ge8o6etv79jy" w:colFirst="0" w:colLast="0"/>
      <w:bookmarkEnd w:id="1"/>
      <w:r>
        <w:rPr>
          <w:rFonts w:ascii="Times New Roman" w:eastAsia="Times New Roman" w:hAnsi="Times New Roman" w:cs="Times New Roman"/>
          <w:b/>
          <w:color w:val="242424"/>
        </w:rPr>
        <w:t>This section has four options to bid.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7557" w:rsidRDefault="0031458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3 - LAN Switches &amp; WAN Routers - Option 4</w:t>
      </w:r>
    </w:p>
    <w:tbl>
      <w:tblPr>
        <w:tblStyle w:val="a5"/>
        <w:tblW w:w="13610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3, LAN SWITCHES &amp; WAN ROUTERS OPTION 4 </w:t>
      </w: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>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</w:pPr>
      <w:r>
        <w:t>Page ___ of ___ (Attached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FIREWALLS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r>
        <w:rPr>
          <w:rFonts w:ascii="Times New Roman" w:eastAsia="Times New Roman" w:hAnsi="Times New Roman" w:cs="Times New Roman"/>
          <w:b/>
          <w:color w:val="242424"/>
        </w:rPr>
        <w:t>Section 4 - Firewalls</w:t>
      </w: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bookmarkStart w:id="2" w:name="_msbfedwc587b" w:colFirst="0" w:colLast="0"/>
      <w:bookmarkEnd w:id="2"/>
      <w:r>
        <w:rPr>
          <w:rFonts w:ascii="Times New Roman" w:eastAsia="Times New Roman" w:hAnsi="Times New Roman" w:cs="Times New Roman"/>
          <w:b/>
          <w:color w:val="242424"/>
        </w:rPr>
        <w:t>This section only has one option to bid.</w:t>
      </w:r>
    </w:p>
    <w:tbl>
      <w:tblPr>
        <w:tblStyle w:val="a6"/>
        <w:tblW w:w="13605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70"/>
        <w:gridCol w:w="139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SECTION 4, FIREWALLS TOTAL: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</w:pPr>
      <w:r>
        <w:t xml:space="preserve">Page ___ of ___ (Attach extra pages and include page numbers if needed) 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NETWORK EQUIPMENT</w:t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 FORM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42424"/>
        </w:rPr>
      </w:pPr>
    </w:p>
    <w:p w:rsidR="00BE7557" w:rsidRDefault="00314583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  <w:color w:val="242424"/>
        </w:rPr>
      </w:pPr>
      <w:bookmarkStart w:id="3" w:name="_pg0os255lcn2" w:colFirst="0" w:colLast="0"/>
      <w:bookmarkEnd w:id="3"/>
      <w:r>
        <w:rPr>
          <w:rFonts w:ascii="Times New Roman" w:eastAsia="Times New Roman" w:hAnsi="Times New Roman" w:cs="Times New Roman"/>
          <w:b/>
          <w:color w:val="242424"/>
        </w:rPr>
        <w:t>Section</w:t>
      </w:r>
      <w:r>
        <w:rPr>
          <w:rFonts w:ascii="Times New Roman" w:eastAsia="Times New Roman" w:hAnsi="Times New Roman" w:cs="Times New Roman"/>
          <w:b/>
        </w:rPr>
        <w:t xml:space="preserve"> 5 - Maintenance</w:t>
      </w:r>
    </w:p>
    <w:p w:rsidR="00BE7557" w:rsidRDefault="00314583">
      <w:pPr>
        <w:pStyle w:val="normal0"/>
        <w:spacing w:before="59"/>
        <w:ind w:right="140"/>
        <w:rPr>
          <w:rFonts w:ascii="Times New Roman" w:eastAsia="Times New Roman" w:hAnsi="Times New Roman" w:cs="Times New Roman"/>
          <w:b/>
          <w:color w:val="242424"/>
        </w:rPr>
      </w:pPr>
      <w:bookmarkStart w:id="4" w:name="_rh3u84ltty99" w:colFirst="0" w:colLast="0"/>
      <w:bookmarkEnd w:id="4"/>
      <w:r>
        <w:rPr>
          <w:rFonts w:ascii="Times New Roman" w:eastAsia="Times New Roman" w:hAnsi="Times New Roman" w:cs="Times New Roman"/>
          <w:b/>
          <w:color w:val="242424"/>
        </w:rPr>
        <w:t>This section may have multiple options to bid depending on how many Network Hardware options are bid.</w:t>
      </w:r>
    </w:p>
    <w:p w:rsidR="00BE7557" w:rsidRDefault="00BE7557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7557" w:rsidRDefault="00314583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5 - Maintenance of Network Equipment</w:t>
      </w:r>
    </w:p>
    <w:tbl>
      <w:tblPr>
        <w:tblStyle w:val="a7"/>
        <w:tblW w:w="13610" w:type="dxa"/>
        <w:tblInd w:w="-60" w:type="dxa"/>
        <w:tblLayout w:type="fixed"/>
        <w:tblLook w:val="0600"/>
      </w:tblPr>
      <w:tblGrid>
        <w:gridCol w:w="2384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55"/>
        <w:gridCol w:w="1416"/>
        <w:gridCol w:w="1416"/>
        <w:gridCol w:w="1416"/>
        <w:gridCol w:w="1035"/>
        <w:gridCol w:w="1035"/>
        <w:gridCol w:w="510"/>
      </w:tblGrid>
      <w:tr w:rsidR="00BE7557">
        <w:trPr>
          <w:trHeight w:val="64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Make/Model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MV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</w:t>
            </w:r>
          </w:p>
          <w:p w:rsidR="00BE7557" w:rsidRDefault="00314583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Unit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Freight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Elig</w:t>
            </w:r>
            <w:proofErr w:type="spellEnd"/>
          </w:p>
          <w:p w:rsidR="00BE7557" w:rsidRDefault="00314583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6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E7557">
        <w:trPr>
          <w:trHeight w:val="300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7557" w:rsidRDefault="00BE755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SECTION 5, MAINTENANCE: $________________</w:t>
      </w:r>
    </w:p>
    <w:p w:rsidR="00BE7557" w:rsidRDefault="00BE7557">
      <w:pPr>
        <w:pStyle w:val="normal0"/>
        <w:spacing w:line="240" w:lineRule="auto"/>
        <w:jc w:val="both"/>
      </w:pPr>
    </w:p>
    <w:p w:rsidR="00BE7557" w:rsidRDefault="00314583">
      <w:pPr>
        <w:pStyle w:val="normal0"/>
        <w:spacing w:line="240" w:lineRule="auto"/>
        <w:jc w:val="center"/>
        <w:rPr>
          <w:b/>
        </w:rPr>
      </w:pPr>
      <w:r>
        <w:rPr>
          <w:b/>
        </w:rPr>
        <w:t>Maintenance for Network Equipment Bid = Section ____, Option _____.</w:t>
      </w:r>
    </w:p>
    <w:p w:rsidR="00BE7557" w:rsidRDefault="00BE7557">
      <w:pPr>
        <w:pStyle w:val="normal0"/>
        <w:spacing w:line="240" w:lineRule="auto"/>
        <w:jc w:val="center"/>
      </w:pPr>
    </w:p>
    <w:p w:rsidR="00BE7557" w:rsidRDefault="00314583">
      <w:pPr>
        <w:pStyle w:val="normal0"/>
        <w:spacing w:line="240" w:lineRule="auto"/>
        <w:jc w:val="center"/>
      </w:pPr>
      <w:r>
        <w:t>Page ___ of ___ (Attached extra pages and include page numbers if needed)</w:t>
      </w:r>
      <w:r>
        <w:br w:type="page"/>
      </w:r>
    </w:p>
    <w:p w:rsidR="00BE7557" w:rsidRDefault="003145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BID FORM SUMMARIES</w:t>
      </w:r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</w:p>
    <w:tbl>
      <w:tblPr>
        <w:tblStyle w:val="a8"/>
        <w:tblW w:w="13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50"/>
        <w:gridCol w:w="2010"/>
        <w:gridCol w:w="2010"/>
        <w:gridCol w:w="2010"/>
        <w:gridCol w:w="2010"/>
        <w:gridCol w:w="1995"/>
      </w:tblGrid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Alta Mesa (AM) Elem. School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bookmarkStart w:id="5" w:name="_gmr67lyx54mi" w:colFirst="0" w:colLast="0"/>
      <w:bookmarkEnd w:id="5"/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</w:p>
    <w:tbl>
      <w:tblPr>
        <w:tblStyle w:val="a9"/>
        <w:tblW w:w="13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65"/>
        <w:gridCol w:w="2010"/>
        <w:gridCol w:w="2010"/>
        <w:gridCol w:w="2010"/>
        <w:gridCol w:w="2010"/>
        <w:gridCol w:w="1965"/>
      </w:tblGrid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Boulder Creek (BC) Elem. School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Section 1, Option 1 - Cabling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</w:p>
    <w:tbl>
      <w:tblPr>
        <w:tblStyle w:val="aa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80"/>
        <w:gridCol w:w="1992"/>
        <w:gridCol w:w="1992"/>
        <w:gridCol w:w="1992"/>
        <w:gridCol w:w="1992"/>
        <w:gridCol w:w="1992"/>
      </w:tblGrid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Lassen View (LV) Elem. School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Section 3, Option 3 - Net Equip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</w:p>
    <w:tbl>
      <w:tblPr>
        <w:tblStyle w:val="ab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10"/>
        <w:gridCol w:w="1980"/>
        <w:gridCol w:w="1980"/>
        <w:gridCol w:w="1980"/>
        <w:gridCol w:w="1980"/>
        <w:gridCol w:w="2025"/>
      </w:tblGrid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Mistletoe (MI) School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</w:rPr>
      </w:pPr>
      <w:bookmarkStart w:id="6" w:name="_7t0kuioh04eb" w:colFirst="0" w:colLast="0"/>
      <w:bookmarkEnd w:id="6"/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25"/>
        <w:gridCol w:w="1986"/>
        <w:gridCol w:w="1986"/>
        <w:gridCol w:w="1986"/>
        <w:gridCol w:w="1986"/>
        <w:gridCol w:w="1986"/>
      </w:tblGrid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Monte Vista (MV)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4 - Firewalls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5 - Maintenance (Sec 4)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bookmarkStart w:id="7" w:name="_jjbd47b12ngx" w:colFirst="0" w:colLast="0"/>
      <w:bookmarkEnd w:id="7"/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</w:p>
    <w:tbl>
      <w:tblPr>
        <w:tblStyle w:val="ad"/>
        <w:tblW w:w="13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40"/>
        <w:gridCol w:w="1982"/>
        <w:gridCol w:w="1983"/>
        <w:gridCol w:w="1983"/>
        <w:gridCol w:w="1983"/>
        <w:gridCol w:w="1983"/>
      </w:tblGrid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Parsons (PA) Jr High School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</w:rPr>
      </w:pPr>
      <w:bookmarkStart w:id="8" w:name="_cjzao9o67uqg" w:colFirst="0" w:colLast="0"/>
      <w:bookmarkEnd w:id="8"/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40"/>
        <w:gridCol w:w="1980"/>
        <w:gridCol w:w="1980"/>
        <w:gridCol w:w="1980"/>
        <w:gridCol w:w="1980"/>
        <w:gridCol w:w="1980"/>
      </w:tblGrid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Rother</w:t>
            </w:r>
            <w:proofErr w:type="spellEnd"/>
            <w:r>
              <w:rPr>
                <w:b/>
              </w:rPr>
              <w:t xml:space="preserve"> (RO) Elementary School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Section 3, Option 2 -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rPr>
          <w:trHeight w:val="480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bookmarkStart w:id="9" w:name="_3tprtnow2tmn" w:colFirst="0" w:colLast="0"/>
      <w:bookmarkEnd w:id="9"/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</w:p>
    <w:tbl>
      <w:tblPr>
        <w:tblStyle w:val="af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55"/>
        <w:gridCol w:w="1977"/>
        <w:gridCol w:w="1977"/>
        <w:gridCol w:w="1977"/>
        <w:gridCol w:w="1977"/>
        <w:gridCol w:w="1977"/>
      </w:tblGrid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Shasta Meadows (SM) Elem </w:t>
            </w:r>
            <w:proofErr w:type="spellStart"/>
            <w:r>
              <w:rPr>
                <w:b/>
              </w:rPr>
              <w:t>Sch</w:t>
            </w:r>
            <w:proofErr w:type="spellEnd"/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bookmarkStart w:id="10" w:name="_s3ajy1is02cs" w:colFirst="0" w:colLast="0"/>
      <w:bookmarkEnd w:id="10"/>
    </w:p>
    <w:p w:rsidR="00BE7557" w:rsidRDefault="00BE7557">
      <w:pPr>
        <w:pStyle w:val="normal0"/>
        <w:spacing w:before="59" w:line="240" w:lineRule="auto"/>
        <w:ind w:right="140"/>
        <w:rPr>
          <w:rFonts w:ascii="Times New Roman" w:eastAsia="Times New Roman" w:hAnsi="Times New Roman" w:cs="Times New Roman"/>
        </w:rPr>
      </w:pPr>
      <w:bookmarkStart w:id="11" w:name="_i8ubozynrtmq" w:colFirst="0" w:colLast="0"/>
      <w:bookmarkEnd w:id="11"/>
    </w:p>
    <w:tbl>
      <w:tblPr>
        <w:tblStyle w:val="af0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55"/>
        <w:gridCol w:w="1977"/>
        <w:gridCol w:w="1977"/>
        <w:gridCol w:w="1977"/>
        <w:gridCol w:w="1977"/>
        <w:gridCol w:w="1977"/>
      </w:tblGrid>
      <w:tr w:rsidR="00BE7557"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1 - Cabling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1, Option 2 - Cabling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2 - UPS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1 -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2 -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3 -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Section 3, Option 4 - Net Equip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1)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2)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3)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  <w:tr w:rsidR="00BE755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 5 - </w:t>
            </w: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(Sec 3, Opt 4)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57" w:rsidRDefault="00314583">
            <w:pPr>
              <w:pStyle w:val="normal0"/>
              <w:widowControl w:val="0"/>
              <w:spacing w:line="240" w:lineRule="auto"/>
            </w:pPr>
            <w:r>
              <w:t>$</w:t>
            </w:r>
          </w:p>
        </w:tc>
      </w:tr>
    </w:tbl>
    <w:p w:rsidR="00BE7557" w:rsidRDefault="00BE755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7557" w:rsidRDefault="00BE7557">
      <w:pPr>
        <w:pStyle w:val="normal0"/>
        <w:spacing w:line="249" w:lineRule="auto"/>
        <w:ind w:right="40"/>
        <w:jc w:val="both"/>
      </w:pPr>
    </w:p>
    <w:p w:rsidR="00BE7557" w:rsidRDefault="00BE7557">
      <w:pPr>
        <w:pStyle w:val="normal0"/>
        <w:spacing w:line="249" w:lineRule="auto"/>
        <w:ind w:right="40"/>
        <w:jc w:val="both"/>
      </w:pPr>
    </w:p>
    <w:p w:rsidR="00BE7557" w:rsidRDefault="00BE7557">
      <w:pPr>
        <w:pStyle w:val="normal0"/>
        <w:spacing w:line="249" w:lineRule="auto"/>
        <w:ind w:right="40"/>
        <w:jc w:val="both"/>
      </w:pPr>
    </w:p>
    <w:p w:rsidR="00BE7557" w:rsidRDefault="00314583">
      <w:pPr>
        <w:pStyle w:val="normal0"/>
        <w:spacing w:line="249" w:lineRule="auto"/>
        <w:ind w:right="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BIDDER ACKNOWLEDGES THE FOLLOWING ADDENDA:</w:t>
      </w:r>
    </w:p>
    <w:p w:rsidR="00BE7557" w:rsidRDefault="00BE7557">
      <w:pPr>
        <w:pStyle w:val="normal0"/>
        <w:spacing w:line="249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spacing w:line="249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  <w:r>
        <w:rPr>
          <w:rFonts w:ascii="Times New Roman" w:eastAsia="Times New Roman" w:hAnsi="Times New Roman" w:cs="Times New Roman"/>
        </w:rPr>
        <w:tab/>
        <w:t>Number</w:t>
      </w:r>
    </w:p>
    <w:p w:rsidR="00BE7557" w:rsidRDefault="00BE7557">
      <w:pPr>
        <w:pStyle w:val="normal0"/>
        <w:spacing w:line="249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spacing w:line="249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ab/>
        <w:t>________</w:t>
      </w:r>
    </w:p>
    <w:p w:rsidR="00BE7557" w:rsidRDefault="00BE7557">
      <w:pPr>
        <w:pStyle w:val="normal0"/>
        <w:spacing w:line="249" w:lineRule="auto"/>
        <w:ind w:left="720" w:right="40" w:hanging="360"/>
        <w:jc w:val="both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 the inclusion of all addenda issued prior to bid in the blanks provided above. Your failure to do so may</w:t>
      </w:r>
    </w:p>
    <w:p w:rsidR="00BE7557" w:rsidRDefault="00314583">
      <w:pPr>
        <w:pStyle w:val="normal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render</w:t>
      </w:r>
      <w:proofErr w:type="gramEnd"/>
      <w:r>
        <w:rPr>
          <w:rFonts w:ascii="Times New Roman" w:eastAsia="Times New Roman" w:hAnsi="Times New Roman" w:cs="Times New Roman"/>
        </w:rPr>
        <w:t xml:space="preserve"> your bid non-responsive.</w:t>
      </w: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Vendor hereby proposes and agrees to enter into an Agreement, to furnish any and all labor, materials, </w:t>
      </w:r>
      <w:r>
        <w:rPr>
          <w:rFonts w:ascii="Times New Roman" w:eastAsia="Times New Roman" w:hAnsi="Times New Roman" w:cs="Times New Roman"/>
        </w:rPr>
        <w:t xml:space="preserve">applicable taxes,  equipment  and  services  for  the  completion  of Work  described in the  Request  for Proposal, Agreement documents and in the specifications when requested by the District. </w:t>
      </w: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pricing submitted, on Attachment C, the Bid Forms, inc</w:t>
      </w:r>
      <w:r>
        <w:rPr>
          <w:rFonts w:ascii="Times New Roman" w:eastAsia="Times New Roman" w:hAnsi="Times New Roman" w:cs="Times New Roman"/>
        </w:rPr>
        <w:t>ludes all items as indicated and as specified for the designated scope of work for the Bid # 2 EESD ERATE 2018 – 19 C2.</w:t>
      </w: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proposed costs shall include all labor, materials, transportation and services necessary to complete said service, all sales, State</w:t>
      </w:r>
      <w:r>
        <w:rPr>
          <w:rFonts w:ascii="Times New Roman" w:eastAsia="Times New Roman" w:hAnsi="Times New Roman" w:cs="Times New Roman"/>
        </w:rPr>
        <w:t xml:space="preserve"> and Local taxes, license and permit fees, and insurance costs, if any.  </w:t>
      </w: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undersigned has checked carefully all of the submitted information and figures and understands that the District will not be responsible for any errors or omissions on the part </w:t>
      </w:r>
      <w:r>
        <w:rPr>
          <w:rFonts w:ascii="Times New Roman" w:eastAsia="Times New Roman" w:hAnsi="Times New Roman" w:cs="Times New Roman"/>
        </w:rPr>
        <w:t>of the undersigned in developing this proposal.</w:t>
      </w:r>
    </w:p>
    <w:p w:rsidR="00BE7557" w:rsidRDefault="00BE7557">
      <w:pPr>
        <w:pStyle w:val="normal0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tabs>
          <w:tab w:val="left" w:pos="-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undersigned declares under penalty of perjury under the laws of the State of California that the representations made in this request for proposal submission are true and correct.</w:t>
      </w:r>
    </w:p>
    <w:p w:rsidR="00BE7557" w:rsidRDefault="00BE7557">
      <w:pPr>
        <w:pStyle w:val="normal0"/>
        <w:spacing w:line="240" w:lineRule="auto"/>
        <w:ind w:left="141" w:right="4033"/>
        <w:jc w:val="both"/>
        <w:rPr>
          <w:rFonts w:ascii="Times New Roman" w:eastAsia="Times New Roman" w:hAnsi="Times New Roman" w:cs="Times New Roman"/>
        </w:rPr>
      </w:pPr>
    </w:p>
    <w:p w:rsidR="00BE7557" w:rsidRDefault="00BE7557">
      <w:pPr>
        <w:pStyle w:val="normal0"/>
        <w:spacing w:line="240" w:lineRule="auto"/>
        <w:ind w:left="141" w:right="4033"/>
        <w:jc w:val="both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___________________________________________</w:t>
      </w:r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Authorized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:rsidR="00BE7557" w:rsidRDefault="00BE7557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114300</wp:posOffset>
              </wp:positionV>
              <wp:extent cx="5342890" cy="12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289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114300</wp:posOffset>
                </wp:positionV>
                <wp:extent cx="5342890" cy="1270"/>
                <wp:effectExtent l="0" t="0" r="0" b="0"/>
                <wp:wrapNone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289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Printed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 Address</w:t>
      </w:r>
    </w:p>
    <w:p w:rsidR="00BE7557" w:rsidRDefault="00BE7557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114300</wp:posOffset>
              </wp:positionV>
              <wp:extent cx="5349240" cy="127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924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114300</wp:posOffset>
                </wp:positionV>
                <wp:extent cx="5349240" cy="1270"/>
                <wp:effectExtent l="0" t="0" r="0" b="0"/>
                <wp:wrapNone/>
                <wp:docPr id="2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924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 Name</w:t>
      </w:r>
    </w:p>
    <w:p w:rsidR="00BE7557" w:rsidRDefault="00BE7557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114300</wp:posOffset>
              </wp:positionV>
              <wp:extent cx="5349240" cy="1270"/>
              <wp:effectExtent b="0" l="0" r="0" t="0"/>
              <wp:wrapNone/>
              <wp:docPr id="5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924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114300</wp:posOffset>
                </wp:positionV>
                <wp:extent cx="5349240" cy="1270"/>
                <wp:effectExtent l="0" t="0" r="0" b="0"/>
                <wp:wrapNone/>
                <wp:docPr id="5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924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50800</wp:posOffset>
              </wp:positionH>
              <wp:positionV relativeFrom="paragraph">
                <wp:posOffset>0</wp:posOffset>
              </wp:positionV>
              <wp:extent cx="5346065" cy="1270"/>
              <wp:effectExtent b="0" l="0" r="0" t="0"/>
              <wp:wrapNone/>
              <wp:docPr id="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6065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0</wp:posOffset>
                </wp:positionV>
                <wp:extent cx="5346065" cy="1270"/>
                <wp:effectExtent l="0" t="0" r="0" b="0"/>
                <wp:wrapNone/>
                <wp:docPr id="3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065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7557" w:rsidRDefault="00BE7557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BE7557" w:rsidRDefault="00314583">
      <w:pPr>
        <w:pStyle w:val="normal0"/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50800</wp:posOffset>
              </wp:positionH>
              <wp:positionV relativeFrom="paragraph">
                <wp:posOffset>101600</wp:posOffset>
              </wp:positionV>
              <wp:extent cx="5354955" cy="1270"/>
              <wp:effectExtent b="0" l="0" r="0" t="0"/>
              <wp:wrapNone/>
              <wp:docPr id="4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4955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101600</wp:posOffset>
                </wp:positionV>
                <wp:extent cx="5354955" cy="1270"/>
                <wp:effectExtent l="0" t="0" r="0" b="0"/>
                <wp:wrapNone/>
                <wp:docPr id="4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4955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38100</wp:posOffset>
              </wp:positionH>
              <wp:positionV relativeFrom="paragraph">
                <wp:posOffset>114300</wp:posOffset>
              </wp:positionV>
              <wp:extent cx="5342890" cy="1270"/>
              <wp:effectExtent b="0" l="0" r="0" t="0"/>
              <wp:wrapNone/>
              <wp:docPr id="6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289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114300</wp:posOffset>
                </wp:positionV>
                <wp:extent cx="5342890" cy="1270"/>
                <wp:effectExtent l="0" t="0" r="0" b="0"/>
                <wp:wrapNone/>
                <wp:docPr id="6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289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E7557" w:rsidRDefault="0031458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</w:rPr>
        <w:t xml:space="preserve">Telephone Number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Fax Number</w:t>
      </w:r>
    </w:p>
    <w:sectPr w:rsidR="00BE7557" w:rsidSect="00783A24">
      <w:headerReference w:type="default" r:id="rId18"/>
      <w:pgSz w:w="15840" w:h="12240"/>
      <w:pgMar w:top="108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83" w:rsidRDefault="00314583" w:rsidP="00BE7557">
      <w:pPr>
        <w:spacing w:line="240" w:lineRule="auto"/>
      </w:pPr>
      <w:r>
        <w:separator/>
      </w:r>
    </w:p>
  </w:endnote>
  <w:endnote w:type="continuationSeparator" w:id="0">
    <w:p w:rsidR="00314583" w:rsidRDefault="00314583" w:rsidP="00BE7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83" w:rsidRDefault="00314583" w:rsidP="00BE7557">
      <w:pPr>
        <w:spacing w:line="240" w:lineRule="auto"/>
      </w:pPr>
      <w:r>
        <w:separator/>
      </w:r>
    </w:p>
  </w:footnote>
  <w:footnote w:type="continuationSeparator" w:id="0">
    <w:p w:rsidR="00314583" w:rsidRDefault="00314583" w:rsidP="00BE75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7" w:rsidRDefault="00314583">
    <w:pPr>
      <w:pStyle w:val="normal0"/>
      <w:spacing w:before="59" w:line="240" w:lineRule="auto"/>
      <w:ind w:left="360" w:right="140"/>
      <w:jc w:val="right"/>
      <w:rPr>
        <w:rFonts w:ascii="Times New Roman" w:eastAsia="Times New Roman" w:hAnsi="Times New Roman" w:cs="Times New Roman"/>
        <w:b/>
        <w:color w:val="242424"/>
      </w:rPr>
    </w:pPr>
    <w:r>
      <w:rPr>
        <w:rFonts w:ascii="Times New Roman" w:eastAsia="Times New Roman" w:hAnsi="Times New Roman" w:cs="Times New Roman"/>
        <w:b/>
        <w:color w:val="242424"/>
      </w:rPr>
      <w:t>ATTACHMENT C</w:t>
    </w:r>
  </w:p>
  <w:p w:rsidR="00BE7557" w:rsidRDefault="00314583">
    <w:pPr>
      <w:pStyle w:val="normal0"/>
      <w:tabs>
        <w:tab w:val="left" w:pos="360"/>
      </w:tabs>
      <w:spacing w:line="240" w:lineRule="auto"/>
      <w:ind w:left="252" w:right="90"/>
      <w:jc w:val="right"/>
    </w:pPr>
    <w:r>
      <w:rPr>
        <w:rFonts w:ascii="Times New Roman" w:eastAsia="Times New Roman" w:hAnsi="Times New Roman" w:cs="Times New Roman"/>
      </w:rPr>
      <w:t xml:space="preserve">(Page </w:t>
    </w:r>
    <w:r w:rsidR="00BE7557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783A24">
      <w:rPr>
        <w:rFonts w:ascii="Times New Roman" w:eastAsia="Times New Roman" w:hAnsi="Times New Roman" w:cs="Times New Roman"/>
      </w:rPr>
      <w:fldChar w:fldCharType="separate"/>
    </w:r>
    <w:r w:rsidR="00783A24">
      <w:rPr>
        <w:rFonts w:ascii="Times New Roman" w:eastAsia="Times New Roman" w:hAnsi="Times New Roman" w:cs="Times New Roman"/>
        <w:noProof/>
      </w:rPr>
      <w:t>17</w:t>
    </w:r>
    <w:r w:rsidR="00BE7557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 w:rsidR="00BE7557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 w:rsidR="00783A24">
      <w:rPr>
        <w:rFonts w:ascii="Times New Roman" w:eastAsia="Times New Roman" w:hAnsi="Times New Roman" w:cs="Times New Roman"/>
      </w:rPr>
      <w:fldChar w:fldCharType="separate"/>
    </w:r>
    <w:r w:rsidR="00783A24">
      <w:rPr>
        <w:rFonts w:ascii="Times New Roman" w:eastAsia="Times New Roman" w:hAnsi="Times New Roman" w:cs="Times New Roman"/>
        <w:noProof/>
      </w:rPr>
      <w:t>17</w:t>
    </w:r>
    <w:r w:rsidR="00BE7557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57"/>
    <w:rsid w:val="00314583"/>
    <w:rsid w:val="00783A24"/>
    <w:rsid w:val="00B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75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75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75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75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75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75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7557"/>
  </w:style>
  <w:style w:type="paragraph" w:styleId="Title">
    <w:name w:val="Title"/>
    <w:basedOn w:val="normal0"/>
    <w:next w:val="normal0"/>
    <w:rsid w:val="00BE755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E755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BE75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2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8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1985</Words>
  <Characters>11315</Characters>
  <Application>Microsoft Office Word</Application>
  <DocSecurity>0</DocSecurity>
  <Lines>94</Lines>
  <Paragraphs>26</Paragraphs>
  <ScaleCrop>false</ScaleCrop>
  <Company>Microsoft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Mollway</dc:creator>
  <cp:lastModifiedBy>John Mollway</cp:lastModifiedBy>
  <cp:revision>2</cp:revision>
  <dcterms:created xsi:type="dcterms:W3CDTF">2018-02-27T22:22:00Z</dcterms:created>
  <dcterms:modified xsi:type="dcterms:W3CDTF">2018-02-27T22:22:00Z</dcterms:modified>
</cp:coreProperties>
</file>